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21D" w:rsidRPr="0083121D" w:rsidRDefault="0083121D" w:rsidP="008312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3121D">
        <w:rPr>
          <w:rFonts w:ascii="Times New Roman" w:hAnsi="Times New Roman" w:cs="Times New Roman"/>
          <w:b/>
          <w:sz w:val="28"/>
          <w:szCs w:val="28"/>
        </w:rPr>
        <w:t xml:space="preserve">Результаты токсикологического  мониторинга за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83121D">
        <w:rPr>
          <w:rFonts w:ascii="Times New Roman" w:hAnsi="Times New Roman" w:cs="Times New Roman"/>
          <w:b/>
          <w:sz w:val="28"/>
          <w:szCs w:val="28"/>
        </w:rPr>
        <w:t xml:space="preserve"> квартал 201</w:t>
      </w:r>
      <w:r w:rsidR="00394F0B">
        <w:rPr>
          <w:rFonts w:ascii="Times New Roman" w:hAnsi="Times New Roman" w:cs="Times New Roman"/>
          <w:b/>
          <w:sz w:val="28"/>
          <w:szCs w:val="28"/>
        </w:rPr>
        <w:t>9</w:t>
      </w:r>
      <w:r w:rsidRPr="0083121D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bookmarkEnd w:id="0"/>
    <w:p w:rsidR="00DD591F" w:rsidRDefault="00D4001B" w:rsidP="00DD5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данным токсикологического мониторинга в Ханты-Мансийском автономном округе-Югре за 2 квартал 201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 зарегистрировано 2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41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случая острого отравления химической этиологии, показатель составил 1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100 тыс. населения (за 2 кв. 201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–</w:t>
      </w:r>
      <w:r w:rsidR="00DD5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92 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случая, показатель 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100 тыс. населения).</w:t>
      </w:r>
    </w:p>
    <w:p w:rsidR="00D4001B" w:rsidRDefault="00D4001B" w:rsidP="00DD5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структуре острых отравлений на первом месте отравления </w:t>
      </w:r>
      <w:r w:rsidR="00394F0B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алкоголем и его суррогатами 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3</w:t>
      </w:r>
      <w:r w:rsid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 втором месте</w:t>
      </w:r>
      <w:r w:rsidR="00394F0B" w:rsidRP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94F0B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медикаментами 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3</w:t>
      </w:r>
      <w:r w:rsidR="00DD5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="00DD591F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 третьем – отравление др</w:t>
      </w:r>
      <w:r w:rsidR="00DD5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угие и неуточненные вещества – 9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%.</w:t>
      </w:r>
    </w:p>
    <w:p w:rsidR="00DD591F" w:rsidRDefault="00DD591F" w:rsidP="00DD5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591F" w:rsidRDefault="00A304FC" w:rsidP="00DD59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4D1838" wp14:editId="53807E4C">
            <wp:extent cx="4981573" cy="3895725"/>
            <wp:effectExtent l="0" t="0" r="1016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DD591F" w:rsidRDefault="00DD591F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591F" w:rsidRPr="00BF32B3" w:rsidRDefault="00DD591F" w:rsidP="00DD591F">
      <w:pPr>
        <w:pStyle w:val="a6"/>
        <w:ind w:firstLine="240"/>
        <w:jc w:val="center"/>
        <w:rPr>
          <w:sz w:val="24"/>
          <w:szCs w:val="24"/>
        </w:rPr>
      </w:pPr>
      <w:r w:rsidRPr="00BF32B3">
        <w:rPr>
          <w:sz w:val="24"/>
          <w:szCs w:val="24"/>
        </w:rPr>
        <w:t>Рис. 1. Структура острых отравлений химической этиологии</w:t>
      </w:r>
    </w:p>
    <w:p w:rsidR="00DD591F" w:rsidRDefault="00DD591F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Высокий уровень отравлений регистрируется среди детей и подростков:</w:t>
      </w:r>
    </w:p>
    <w:p w:rsidR="00D4001B" w:rsidRDefault="00D4001B" w:rsidP="00DD5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у детей до 14 лет – показатель 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12,2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100 тыс. детского населения; </w:t>
      </w:r>
    </w:p>
    <w:p w:rsidR="00D4001B" w:rsidRDefault="00D4001B" w:rsidP="00DD5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у подростков 15-17 лет – показатель 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33,0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100 тыс. населения возраста 15-17 лет.</w:t>
      </w:r>
    </w:p>
    <w:p w:rsidR="00D4001B" w:rsidRDefault="00D4001B" w:rsidP="00DD5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у лиц трудоспособного возраста 18 - 60 лет – показатель 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14,2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100 тыс. населения возраста от 18-60 лет; </w:t>
      </w:r>
    </w:p>
    <w:p w:rsidR="00D4001B" w:rsidRDefault="00D4001B" w:rsidP="00DD59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у лиц старше 60 лет - показатель 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14,2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100 тыс. населения лиц старше 60 лет.</w:t>
      </w:r>
    </w:p>
    <w:p w:rsidR="00DD591F" w:rsidRDefault="00A304FC" w:rsidP="00DD59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17A8FB4" wp14:editId="404EEBF2">
            <wp:extent cx="4667250" cy="2205038"/>
            <wp:effectExtent l="0" t="0" r="19050" b="2413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D591F" w:rsidRPr="00A304FC" w:rsidRDefault="00DD591F" w:rsidP="00DD591F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304FC">
        <w:rPr>
          <w:rFonts w:ascii="Times New Roman" w:hAnsi="Times New Roman" w:cs="Times New Roman"/>
          <w:bCs/>
          <w:sz w:val="24"/>
          <w:szCs w:val="24"/>
        </w:rPr>
        <w:t>Рис.2. Распределение острых отравлений по возрастным группам</w:t>
      </w:r>
    </w:p>
    <w:p w:rsidR="00A304FC" w:rsidRDefault="00A304FC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 обстоятельств отравлений показал, что: 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случайно приняли химическое вещество –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49,8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%;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преднамеренно приняли химическое вещество – 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30,7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%; 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прочие причины – </w:t>
      </w:r>
      <w:r w:rsidR="00A304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19,5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 </w:t>
      </w:r>
    </w:p>
    <w:p w:rsidR="00A304FC" w:rsidRDefault="00A304FC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D591F" w:rsidRDefault="00A304FC" w:rsidP="00DD59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0DE2BF" wp14:editId="1710D2ED">
            <wp:extent cx="4452730" cy="3490622"/>
            <wp:effectExtent l="0" t="0" r="24130" b="1460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D591F" w:rsidRPr="00A304FC" w:rsidRDefault="00DD591F" w:rsidP="00DD591F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304FC">
        <w:rPr>
          <w:rFonts w:ascii="Times New Roman" w:hAnsi="Times New Roman" w:cs="Times New Roman"/>
          <w:bCs/>
          <w:sz w:val="24"/>
          <w:szCs w:val="24"/>
        </w:rPr>
        <w:t>Рис. 3. Характер острых отравлений  по обстоятельствам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числа пострадавших от отравлений по полу 6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 - составили мужчины и 3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 женщины.</w:t>
      </w:r>
    </w:p>
    <w:p w:rsidR="00DD591F" w:rsidRDefault="00A304FC" w:rsidP="00DD591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0EF1EE" wp14:editId="3BA75E4D">
            <wp:extent cx="4572000" cy="27432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110E5" w:rsidRPr="0064523F" w:rsidRDefault="00A110E5" w:rsidP="00A110E5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64523F">
        <w:rPr>
          <w:rFonts w:ascii="Times New Roman" w:hAnsi="Times New Roman" w:cs="Times New Roman"/>
          <w:sz w:val="24"/>
          <w:szCs w:val="24"/>
        </w:rPr>
        <w:t>Рис. 4. Характер острых отравлений  по полу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Самый высокий показатель пострадавших от отравлений по социальному положению это безработные – </w:t>
      </w:r>
      <w:r w:rsidR="003E5D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76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человека и самый высокий показатель летальности – 2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 втором месте работающее население – 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="003E5D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человека, с летальным исходом – 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="003E5D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 третьем месте </w:t>
      </w:r>
      <w:r w:rsidR="003E5D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пенсионеры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показателем – 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</w:t>
      </w:r>
      <w:r w:rsidR="003E5D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человек, с летальным исходом – </w:t>
      </w:r>
      <w:r w:rsidR="003E5D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22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</w:p>
    <w:p w:rsidR="00A110E5" w:rsidRDefault="00A304FC" w:rsidP="00A110E5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801E34" wp14:editId="55136F28">
            <wp:extent cx="5518206" cy="3419061"/>
            <wp:effectExtent l="0" t="0" r="25400" b="1016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E5DA1" w:rsidRPr="0064523F" w:rsidRDefault="003E5DA1" w:rsidP="003E5DA1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64523F">
        <w:rPr>
          <w:rFonts w:ascii="Times New Roman" w:hAnsi="Times New Roman" w:cs="Times New Roman"/>
          <w:bCs/>
          <w:iCs/>
          <w:sz w:val="28"/>
          <w:szCs w:val="28"/>
        </w:rPr>
        <w:t>Количество пострадавших от отравлений по социальному положению (</w:t>
      </w:r>
      <w:r w:rsidRPr="0064523F">
        <w:rPr>
          <w:rFonts w:ascii="Times New Roman" w:hAnsi="Times New Roman" w:cs="Times New Roman"/>
          <w:sz w:val="28"/>
          <w:szCs w:val="28"/>
        </w:rPr>
        <w:t>Рис.5</w:t>
      </w:r>
      <w:r w:rsidRPr="0064523F">
        <w:rPr>
          <w:rFonts w:ascii="Times New Roman" w:hAnsi="Times New Roman" w:cs="Times New Roman"/>
          <w:bCs/>
          <w:iCs/>
          <w:sz w:val="28"/>
          <w:szCs w:val="28"/>
        </w:rPr>
        <w:t>):</w:t>
      </w:r>
    </w:p>
    <w:p w:rsidR="00394F0B" w:rsidRDefault="00394F0B" w:rsidP="0064523F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4F0B" w:rsidRDefault="00394F0B" w:rsidP="0064523F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4F0B" w:rsidRDefault="00394F0B" w:rsidP="0064523F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4523F" w:rsidRPr="0064523F" w:rsidRDefault="0064523F" w:rsidP="0064523F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4523F">
        <w:rPr>
          <w:rFonts w:ascii="Times New Roman" w:hAnsi="Times New Roman" w:cs="Times New Roman"/>
          <w:sz w:val="28"/>
          <w:szCs w:val="28"/>
        </w:rPr>
        <w:lastRenderedPageBreak/>
        <w:t>Место приобретения химического вещества, количественная характеристика  (Рис.6):</w:t>
      </w:r>
    </w:p>
    <w:p w:rsidR="0064523F" w:rsidRDefault="00D663B1" w:rsidP="0064523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A14E2F" wp14:editId="4922A6DC">
            <wp:extent cx="4572000" cy="27432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4523F" w:rsidRDefault="0064523F" w:rsidP="0064523F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</w:pPr>
      <w:r w:rsidRPr="00A97271">
        <w:t>Рис.6</w:t>
      </w:r>
    </w:p>
    <w:p w:rsidR="002F2460" w:rsidRPr="002F2460" w:rsidRDefault="002F2460" w:rsidP="002F2460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F2460">
        <w:rPr>
          <w:rFonts w:ascii="Times New Roman" w:hAnsi="Times New Roman" w:cs="Times New Roman"/>
          <w:sz w:val="28"/>
          <w:szCs w:val="28"/>
        </w:rPr>
        <w:t>Из числа пострадавших по характеру отравлений (Рис.7):</w:t>
      </w:r>
    </w:p>
    <w:p w:rsidR="002F2460" w:rsidRDefault="00D663B1" w:rsidP="002F2460">
      <w:pPr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5AB726" wp14:editId="5EEAD263">
            <wp:extent cx="4572000" cy="27432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F2460" w:rsidRDefault="002F2460" w:rsidP="002F2460">
      <w:pPr>
        <w:widowControl w:val="0"/>
        <w:shd w:val="clear" w:color="auto" w:fill="FFFFFF"/>
        <w:autoSpaceDE w:val="0"/>
        <w:autoSpaceDN w:val="0"/>
        <w:adjustRightInd w:val="0"/>
        <w:ind w:firstLine="708"/>
        <w:jc w:val="center"/>
      </w:pPr>
      <w:r w:rsidRPr="00A97271">
        <w:t>Рис.</w:t>
      </w:r>
      <w:r>
        <w:t>7</w:t>
      </w:r>
    </w:p>
    <w:p w:rsidR="00D4001B" w:rsidRDefault="00D4001B" w:rsidP="0064523F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2 квартале 201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 зарегистрировано 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61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смертельных случаев от острых отравлений, показатель смертности составил 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</w:t>
      </w:r>
      <w:r w:rsidR="00A110E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100 тыс. населения (в 2 кв. 201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г. – 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55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случаев с показателем 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3,3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В сравнении с показателями 2 квартала 201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 (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18,8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% от общего числа отравившихся) наблюдается 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повышение 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смертельных случаев от острых отравлений на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6,5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 в 201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г. (</w:t>
      </w:r>
      <w:r w:rsidR="00D66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25,3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% от общего числа </w:t>
      </w:r>
      <w:proofErr w:type="spellStart"/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отравившихс</w:t>
      </w:r>
      <w:proofErr w:type="spellEnd"/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Основными причинами смерти от острых отравлений химической этиологии являются: 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отравления алкоголем –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73,8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%, </w:t>
      </w:r>
    </w:p>
    <w:p w:rsidR="0064523F" w:rsidRDefault="0064523F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Другими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мониторируемыми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видами –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8,2%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отравления лекарственными препаратами –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6,6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%, 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отравления наркотическими веществами –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11,5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%, 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прочие отравления –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8,2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% (из них от общего числа прочих отравлений токсическое действие </w:t>
      </w:r>
      <w:r w:rsidR="002F2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органических растворителей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="002F2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0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%, токсическое действие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ароматических углеводов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</w:t>
      </w:r>
      <w:r w:rsidR="002F2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2F2460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токсическое действие</w:t>
      </w:r>
      <w:r w:rsidR="002F2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других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газов, дымов и паров</w:t>
      </w:r>
      <w:r w:rsidR="002F2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</w:t>
      </w:r>
      <w:r w:rsidR="002F2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%, </w:t>
      </w:r>
      <w:r w:rsidR="002F2460"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токсическое действие</w:t>
      </w:r>
      <w:r w:rsidR="002F2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других и неуточненных веществ – </w:t>
      </w:r>
      <w:r w:rsidR="00F83F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40</w:t>
      </w:r>
      <w:r w:rsidR="002F24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D4001B" w:rsidRDefault="00D4001B" w:rsidP="00D4001B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Наибольший уровень смертности регистрируется среди лиц от 60 лет и старше (показатель </w:t>
      </w:r>
      <w:r w:rsidR="0083121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7,5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100 тыс. населения).</w:t>
      </w:r>
    </w:p>
    <w:p w:rsidR="0083121D" w:rsidRDefault="00F83FEC" w:rsidP="0083121D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5061C" wp14:editId="597A358A">
            <wp:extent cx="4572000" cy="3286125"/>
            <wp:effectExtent l="0" t="0" r="1905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072ED" w:rsidRPr="00D4001B" w:rsidRDefault="00D4001B" w:rsidP="00394F0B">
      <w:pPr>
        <w:spacing w:after="15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за 2 квартал 201</w:t>
      </w:r>
      <w:r w:rsid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 в Ханты-Мансийском автономном округе-Югре регистрируется </w:t>
      </w:r>
      <w:r w:rsid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снижение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острых отравлений химической этиологии в сравнении с 2 кварталом 201</w:t>
      </w:r>
      <w:r w:rsid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года. Наибольший уровень смертности регистрируется среди лиц 60 лет и старше. По числу пострадавших наибольшее количество среди безработного населения, так же и с летальным исходом. В целом наблюдается повышение смертельных случаев от острых отравлений на </w:t>
      </w:r>
      <w:r w:rsid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6,5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% в 201</w:t>
      </w:r>
      <w:r w:rsid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г. Анализ обстоятельств отравлений показал, что в большинстве случаев население пострадало от </w:t>
      </w:r>
      <w:r w:rsidR="00394F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алкоголя и его суррогатов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Место приобретения химического вещества в большинстве случаев не известно (другое), на втором месте – аптека, на третьем – магазин.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4001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Сложившаяся ситуация свидетельствует о необходимости усиления профилактических мероприятий, связанных с употреблением медикаментов (как случайного так и преднамеренного), а так же алкоголя и спиртосодержащей продукции населением. Необходимо повысить контроль над реализацией медикаментов аптечными пунктами, в частности отпуском лекарственных препаратов без рецепта врача.</w:t>
      </w:r>
    </w:p>
    <w:sectPr w:rsidR="003072ED" w:rsidRPr="00D4001B" w:rsidSect="00394F0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9FF"/>
    <w:rsid w:val="002F2460"/>
    <w:rsid w:val="003072ED"/>
    <w:rsid w:val="00394F0B"/>
    <w:rsid w:val="003E5DA1"/>
    <w:rsid w:val="0064523F"/>
    <w:rsid w:val="0083121D"/>
    <w:rsid w:val="00980B85"/>
    <w:rsid w:val="00A110E5"/>
    <w:rsid w:val="00A304FC"/>
    <w:rsid w:val="00D4001B"/>
    <w:rsid w:val="00D663B1"/>
    <w:rsid w:val="00DD591F"/>
    <w:rsid w:val="00F469FF"/>
    <w:rsid w:val="00F8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018AB2-6F36-4C1A-902D-76CB3651F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400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400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400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91F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DD591F"/>
    <w:pPr>
      <w:tabs>
        <w:tab w:val="left" w:pos="5340"/>
        <w:tab w:val="left" w:pos="5910"/>
        <w:tab w:val="right" w:pos="9360"/>
      </w:tabs>
      <w:spacing w:after="0" w:line="240" w:lineRule="auto"/>
      <w:ind w:right="355"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D591F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8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2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openxmlformats.org/officeDocument/2006/relationships/image" Target="../media/image1.jpg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openxmlformats.org/officeDocument/2006/relationships/image" Target="../media/image2.jpeg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openxmlformats.org/officeDocument/2006/relationships/image" Target="../media/image3.jpeg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37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0956923113246526E-2"/>
          <c:y val="4.2539600582714047E-2"/>
          <c:w val="0.62960916708768699"/>
          <c:h val="0.94801158051964829"/>
        </c:manualLayout>
      </c:layout>
      <c:pie3DChart>
        <c:varyColors val="1"/>
        <c:ser>
          <c:idx val="0"/>
          <c:order val="0"/>
          <c:explosion val="25"/>
          <c:dPt>
            <c:idx val="9"/>
            <c:bubble3D val="0"/>
            <c:spPr>
              <a:ln>
                <a:noFill/>
              </a:ln>
            </c:spPr>
          </c:dPt>
          <c:dLbls>
            <c:dLbl>
              <c:idx val="0"/>
              <c:layout>
                <c:manualLayout>
                  <c:x val="-0.11670189315704096"/>
                  <c:y val="-0.166236066457463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1322598303788785E-2"/>
                  <c:y val="-0.14610194508082577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5982572171480777E-2"/>
                  <c:y val="-3.9147270405380255E-2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6240777762365416E-2"/>
                  <c:y val="5.0624723254336541E-2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3259227557239453E-2"/>
                  <c:y val="0.14869247701005589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788848823453957E-3"/>
                  <c:y val="0.15501941230451327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4328486203052732"/>
                  <c:y val="0.17976679565421069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2316846506113607E-2"/>
                  <c:y val="4.0982615559363146E-2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7458461413694029"/>
                  <c:y val="-8.0480526731224605E-2"/>
                </c:manualLayout>
              </c:layout>
              <c:dLblPos val="bestFit"/>
              <c:showLegendKey val="1"/>
              <c:showVal val="0"/>
              <c:showCatName val="1"/>
              <c:showSerName val="0"/>
              <c:showPercent val="0"/>
              <c:showBubbleSize val="0"/>
              <c:separator>, </c:separator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i="0" baseline="0"/>
                </a:pPr>
                <a:endParaRPr lang="ru-RU"/>
              </a:p>
            </c:txPr>
            <c:dLblPos val="bestFit"/>
            <c:showLegendKey val="1"/>
            <c:showVal val="0"/>
            <c:showCatName val="1"/>
            <c:showSerName val="0"/>
            <c:showPercent val="0"/>
            <c:showBubbleSize val="0"/>
            <c:separator>,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multiLvlStrRef>
              <c:f>вещества!$A$2:$B$12</c:f>
              <c:multiLvlStrCache>
                <c:ptCount val="11"/>
                <c:lvl>
                  <c:pt idx="0">
                    <c:v>3,3%</c:v>
                  </c:pt>
                  <c:pt idx="1">
                    <c:v>2,1%</c:v>
                  </c:pt>
                  <c:pt idx="2">
                    <c:v>0,8%</c:v>
                  </c:pt>
                  <c:pt idx="3">
                    <c:v>2,1%</c:v>
                  </c:pt>
                  <c:pt idx="4">
                    <c:v>3,3%</c:v>
                  </c:pt>
                  <c:pt idx="5">
                    <c:v>0,8%</c:v>
                  </c:pt>
                  <c:pt idx="6">
                    <c:v>9,5%</c:v>
                  </c:pt>
                  <c:pt idx="7">
                    <c:v>7,5%</c:v>
                  </c:pt>
                  <c:pt idx="8">
                    <c:v>37,3%</c:v>
                  </c:pt>
                  <c:pt idx="9">
                    <c:v>32,8%</c:v>
                  </c:pt>
                  <c:pt idx="10">
                    <c:v>0,4%</c:v>
                  </c:pt>
                </c:lvl>
                <c:lvl>
                  <c:pt idx="0">
                    <c:v>разъядающие в-ва</c:v>
                  </c:pt>
                  <c:pt idx="1">
                    <c:v>уксусная к-та</c:v>
                  </c:pt>
                  <c:pt idx="2">
                    <c:v>токсические металлы</c:v>
                  </c:pt>
                  <c:pt idx="3">
                    <c:v>окись углерода</c:v>
                  </c:pt>
                  <c:pt idx="4">
                    <c:v>другие газы, дымы и пары</c:v>
                  </c:pt>
                  <c:pt idx="5">
                    <c:v>пестициды</c:v>
                  </c:pt>
                  <c:pt idx="6">
                    <c:v>другие и неуточненные в-ва</c:v>
                  </c:pt>
                  <c:pt idx="7">
                    <c:v>наркотики</c:v>
                  </c:pt>
                  <c:pt idx="8">
                    <c:v>алкоголь</c:v>
                  </c:pt>
                  <c:pt idx="9">
                    <c:v>медикаменты</c:v>
                  </c:pt>
                  <c:pt idx="10">
                    <c:v>ароматические углеводовроды</c:v>
                  </c:pt>
                </c:lvl>
              </c:multiLvlStrCache>
            </c:multiLvlStrRef>
          </c:cat>
          <c:val>
            <c:numRef>
              <c:f>вещества!$C$2:$C$12</c:f>
              <c:numCache>
                <c:formatCode>General</c:formatCode>
                <c:ptCount val="11"/>
                <c:pt idx="0">
                  <c:v>8</c:v>
                </c:pt>
                <c:pt idx="1">
                  <c:v>5</c:v>
                </c:pt>
                <c:pt idx="2">
                  <c:v>2</c:v>
                </c:pt>
                <c:pt idx="3">
                  <c:v>5</c:v>
                </c:pt>
                <c:pt idx="4">
                  <c:v>8</c:v>
                </c:pt>
                <c:pt idx="5">
                  <c:v>2</c:v>
                </c:pt>
                <c:pt idx="6">
                  <c:v>23</c:v>
                </c:pt>
                <c:pt idx="7">
                  <c:v>18</c:v>
                </c:pt>
                <c:pt idx="8">
                  <c:v>90</c:v>
                </c:pt>
                <c:pt idx="9">
                  <c:v>79</c:v>
                </c:pt>
                <c:pt idx="1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blipFill>
          <a:blip xmlns:r="http://schemas.openxmlformats.org/officeDocument/2006/relationships" r:embed="rId2">
            <a:alphaModFix amt="90000"/>
          </a:blip>
          <a:stretch>
            <a:fillRect/>
          </a:stretch>
        </a:blipFill>
      </c:spPr>
    </c:sideWall>
    <c:backWall>
      <c:thickness val="0"/>
      <c:spPr>
        <a:blipFill>
          <a:blip xmlns:r="http://schemas.openxmlformats.org/officeDocument/2006/relationships" r:embed="rId2">
            <a:alphaModFix amt="90000"/>
          </a:blip>
          <a:stretch>
            <a:fillRect/>
          </a:stretch>
        </a:blipFill>
        <a:scene3d>
          <a:camera prst="orthographicFront"/>
          <a:lightRig rig="threePt" dir="t"/>
        </a:scene3d>
        <a:sp3d/>
      </c:spPr>
    </c:backWall>
    <c:plotArea>
      <c:layout/>
      <c:bar3DChart>
        <c:barDir val="bar"/>
        <c:grouping val="clustered"/>
        <c:varyColors val="1"/>
        <c:ser>
          <c:idx val="0"/>
          <c:order val="0"/>
          <c:spPr>
            <a:effectLst>
              <a:innerShdw blurRad="165100" dist="190500" dir="4080000">
                <a:schemeClr val="tx1">
                  <a:alpha val="47000"/>
                </a:schemeClr>
              </a:innerShdw>
            </a:effectLst>
            <a:scene3d>
              <a:camera prst="orthographicFront"/>
              <a:lightRig rig="threePt" dir="t"/>
            </a:scene3d>
            <a:sp3d prstMaterial="dkEdge"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вещества!$A$16:$A$19</c:f>
              <c:strCache>
                <c:ptCount val="4"/>
                <c:pt idx="0">
                  <c:v>до 14 лет</c:v>
                </c:pt>
                <c:pt idx="1">
                  <c:v>15-17 лет</c:v>
                </c:pt>
                <c:pt idx="2">
                  <c:v>18-60</c:v>
                </c:pt>
                <c:pt idx="3">
                  <c:v>60 и старше</c:v>
                </c:pt>
              </c:strCache>
            </c:strRef>
          </c:cat>
          <c:val>
            <c:numRef>
              <c:f>вещества!$B$16:$B$19</c:f>
              <c:numCache>
                <c:formatCode>0.0</c:formatCode>
                <c:ptCount val="4"/>
                <c:pt idx="0">
                  <c:v>12.193704078652226</c:v>
                </c:pt>
                <c:pt idx="1">
                  <c:v>33.022675570558448</c:v>
                </c:pt>
                <c:pt idx="2">
                  <c:v>14.153233592090686</c:v>
                </c:pt>
                <c:pt idx="3">
                  <c:v>14.244384519792327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95967328"/>
        <c:axId val="595960664"/>
        <c:axId val="0"/>
      </c:bar3DChart>
      <c:catAx>
        <c:axId val="5959673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595960664"/>
        <c:crosses val="autoZero"/>
        <c:auto val="1"/>
        <c:lblAlgn val="ctr"/>
        <c:lblOffset val="100"/>
        <c:noMultiLvlLbl val="0"/>
      </c:catAx>
      <c:valAx>
        <c:axId val="595960664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595967328"/>
        <c:crosses val="autoZero"/>
        <c:crossBetween val="between"/>
      </c:valAx>
    </c:plotArea>
    <c:plotVisOnly val="1"/>
    <c:dispBlanksAs val="gap"/>
    <c:showDLblsOverMax val="0"/>
  </c:chart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6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611111111111112E-2"/>
          <c:y val="3.0259681226997466E-2"/>
          <c:w val="0.89166666666666672"/>
          <c:h val="0.77373187290136214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5951782589676292"/>
                  <c:y val="8.1325825891875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3476935695538059"/>
                  <c:y val="-0.271006613000190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1052318460192471"/>
                  <c:y val="0.123000043988914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вещества!$A$21:$A$23</c:f>
              <c:strCache>
                <c:ptCount val="3"/>
                <c:pt idx="0">
                  <c:v>Преднамеренно</c:v>
                </c:pt>
                <c:pt idx="1">
                  <c:v>Случайно</c:v>
                </c:pt>
                <c:pt idx="2">
                  <c:v>Прочие</c:v>
                </c:pt>
              </c:strCache>
            </c:strRef>
          </c:cat>
          <c:val>
            <c:numRef>
              <c:f>вещества!$B$21:$B$23</c:f>
              <c:numCache>
                <c:formatCode>0.0%</c:formatCode>
                <c:ptCount val="3"/>
                <c:pt idx="0">
                  <c:v>0.30705394190871371</c:v>
                </c:pt>
                <c:pt idx="1">
                  <c:v>0.49792531120331951</c:v>
                </c:pt>
                <c:pt idx="2">
                  <c:v>0.19502074688796681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9444444444444445E-2"/>
                  <c:y val="-0.277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7776E-2"/>
                  <c:y val="-0.319444444444444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вещества!$A$26:$A$27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вещества!$B$26:$B$27</c:f>
              <c:numCache>
                <c:formatCode>0.0%</c:formatCode>
                <c:ptCount val="2"/>
                <c:pt idx="0">
                  <c:v>0.36099585062240663</c:v>
                </c:pt>
                <c:pt idx="1">
                  <c:v>0.63900414937759331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595961448"/>
        <c:axId val="595968896"/>
        <c:axId val="0"/>
      </c:bar3DChart>
      <c:catAx>
        <c:axId val="595961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 i="0" baseline="0"/>
            </a:pPr>
            <a:endParaRPr lang="ru-RU"/>
          </a:p>
        </c:txPr>
        <c:crossAx val="595968896"/>
        <c:crosses val="autoZero"/>
        <c:auto val="1"/>
        <c:lblAlgn val="ctr"/>
        <c:lblOffset val="100"/>
        <c:noMultiLvlLbl val="0"/>
      </c:catAx>
      <c:valAx>
        <c:axId val="595968896"/>
        <c:scaling>
          <c:orientation val="minMax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595961448"/>
        <c:crosses val="autoZero"/>
        <c:crossBetween val="between"/>
      </c:valAx>
      <c:spPr>
        <a:gradFill>
          <a:gsLst>
            <a:gs pos="0">
              <a:srgbClr val="FF3399"/>
            </a:gs>
            <a:gs pos="8000">
              <a:srgbClr val="FF6633"/>
            </a:gs>
            <a:gs pos="50000">
              <a:srgbClr val="FFFF00"/>
            </a:gs>
            <a:gs pos="97000">
              <a:srgbClr val="01A78F"/>
            </a:gs>
            <a:gs pos="100000">
              <a:srgbClr val="3366FF"/>
            </a:gs>
          </a:gsLst>
          <a:path path="rect">
            <a:fillToRect l="100000" t="100000"/>
          </a:path>
        </a:gradFill>
      </c:spPr>
    </c:plotArea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v>количество пострадавших</c:v>
          </c:tx>
          <c:dLbls>
            <c:dLbl>
              <c:idx val="0"/>
              <c:layout>
                <c:manualLayout>
                  <c:x val="-3.7510656436487641E-2"/>
                  <c:y val="-6.2378129343752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150895140664933E-2"/>
                  <c:y val="-7.7972661679690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330775788576297E-2"/>
                  <c:y val="-5.1981774453127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381074168797956E-2"/>
                  <c:y val="-7.27744842343780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2071611253196933E-2"/>
                  <c:y val="-6.2378129343752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280477408354646E-2"/>
                  <c:y val="-7.79726616796907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; </c:separator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вещества!$A$30:$A$36</c:f>
              <c:strCache>
                <c:ptCount val="7"/>
                <c:pt idx="0">
                  <c:v>неорганизованные дети</c:v>
                </c:pt>
                <c:pt idx="1">
                  <c:v>дети посещающие ДДУ</c:v>
                </c:pt>
                <c:pt idx="2">
                  <c:v>Школьники</c:v>
                </c:pt>
                <c:pt idx="3">
                  <c:v>Учащиеся</c:v>
                </c:pt>
                <c:pt idx="4">
                  <c:v>Работающие</c:v>
                </c:pt>
                <c:pt idx="5">
                  <c:v>безработные</c:v>
                </c:pt>
                <c:pt idx="6">
                  <c:v>пенсионеры</c:v>
                </c:pt>
              </c:strCache>
            </c:strRef>
          </c:cat>
          <c:val>
            <c:numRef>
              <c:f>вещества!$B$30:$B$36</c:f>
              <c:numCache>
                <c:formatCode>0.0</c:formatCode>
                <c:ptCount val="7"/>
                <c:pt idx="0">
                  <c:v>10</c:v>
                </c:pt>
                <c:pt idx="1">
                  <c:v>15</c:v>
                </c:pt>
                <c:pt idx="2">
                  <c:v>38</c:v>
                </c:pt>
                <c:pt idx="3">
                  <c:v>2</c:v>
                </c:pt>
                <c:pt idx="4">
                  <c:v>59</c:v>
                </c:pt>
                <c:pt idx="5">
                  <c:v>76</c:v>
                </c:pt>
                <c:pt idx="6">
                  <c:v>41</c:v>
                </c:pt>
              </c:numCache>
            </c:numRef>
          </c:val>
          <c:smooth val="0"/>
        </c:ser>
        <c:ser>
          <c:idx val="1"/>
          <c:order val="1"/>
          <c:tx>
            <c:v>летальный исход</c:v>
          </c:tx>
          <c:dLbls>
            <c:dLbl>
              <c:idx val="0"/>
              <c:layout>
                <c:manualLayout>
                  <c:x val="-8.1841432225063945E-2"/>
                  <c:y val="-1.55945323359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5086569592813637E-2"/>
                  <c:y val="-2.0912710607737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29370134465676E-2"/>
                  <c:y val="-4.7365296081584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8201193520886615E-3"/>
                  <c:y val="4.1585419562501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971014492753624E-2"/>
                  <c:y val="-6.2378129343752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2723417534591614E-2"/>
                  <c:y val="-6.3763012402994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4100596760443308E-3"/>
                  <c:y val="-1.55945323359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вещества!$A$30:$A$36</c:f>
              <c:strCache>
                <c:ptCount val="7"/>
                <c:pt idx="0">
                  <c:v>неорганизованные дети</c:v>
                </c:pt>
                <c:pt idx="1">
                  <c:v>дети посещающие ДДУ</c:v>
                </c:pt>
                <c:pt idx="2">
                  <c:v>Школьники</c:v>
                </c:pt>
                <c:pt idx="3">
                  <c:v>Учащиеся</c:v>
                </c:pt>
                <c:pt idx="4">
                  <c:v>Работающие</c:v>
                </c:pt>
                <c:pt idx="5">
                  <c:v>безработные</c:v>
                </c:pt>
                <c:pt idx="6">
                  <c:v>пенсионеры</c:v>
                </c:pt>
              </c:strCache>
            </c:strRef>
          </c:cat>
          <c:val>
            <c:numRef>
              <c:f>вещества!$C$30:$C$36</c:f>
              <c:numCache>
                <c:formatCode>0.0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12</c:v>
                </c:pt>
                <c:pt idx="5">
                  <c:v>26</c:v>
                </c:pt>
                <c:pt idx="6">
                  <c:v>22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95970072"/>
        <c:axId val="595972032"/>
      </c:lineChart>
      <c:catAx>
        <c:axId val="595970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595972032"/>
        <c:crosses val="autoZero"/>
        <c:auto val="1"/>
        <c:lblAlgn val="ctr"/>
        <c:lblOffset val="100"/>
        <c:noMultiLvlLbl val="0"/>
      </c:catAx>
      <c:valAx>
        <c:axId val="595972032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595970072"/>
        <c:crosses val="autoZero"/>
        <c:crossBetween val="between"/>
      </c:valAx>
      <c:spPr>
        <a:gradFill flip="none" rotWithShape="1">
          <a:gsLst>
            <a:gs pos="0">
              <a:srgbClr val="DDEBCF"/>
            </a:gs>
            <a:gs pos="74000">
              <a:srgbClr val="9CB86E"/>
            </a:gs>
            <a:gs pos="96000">
              <a:srgbClr val="00B050"/>
            </a:gs>
          </a:gsLst>
          <a:lin ang="5400000" scaled="1"/>
          <a:tileRect/>
        </a:gradFill>
      </c:spPr>
    </c:plotArea>
    <c:legend>
      <c:legendPos val="b"/>
      <c:overlay val="0"/>
      <c:txPr>
        <a:bodyPr/>
        <a:lstStyle/>
        <a:p>
          <a:pPr>
            <a:defRPr sz="12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3773840769903762"/>
          <c:y val="2.3148148148148147E-2"/>
          <c:w val="0.59303237095363082"/>
          <c:h val="0.8712944736074657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вещества!$A$39</c:f>
              <c:strCache>
                <c:ptCount val="1"/>
                <c:pt idx="0">
                  <c:v>Аптека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8.487556272013328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колиство прибретенного химического вещества</c:v>
              </c:pt>
            </c:strLit>
          </c:cat>
          <c:val>
            <c:numRef>
              <c:f>вещества!$B$39</c:f>
              <c:numCache>
                <c:formatCode>0.00</c:formatCode>
                <c:ptCount val="1"/>
                <c:pt idx="0">
                  <c:v>44</c:v>
                </c:pt>
              </c:numCache>
            </c:numRef>
          </c:val>
        </c:ser>
        <c:ser>
          <c:idx val="1"/>
          <c:order val="1"/>
          <c:tx>
            <c:strRef>
              <c:f>вещества!$A$40</c:f>
              <c:strCache>
                <c:ptCount val="1"/>
                <c:pt idx="0">
                  <c:v>магазин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72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колиство прибретенного химического вещества</c:v>
              </c:pt>
            </c:strLit>
          </c:cat>
          <c:val>
            <c:numRef>
              <c:f>вещества!$B$40</c:f>
              <c:numCache>
                <c:formatCode>0.00</c:formatCode>
                <c:ptCount val="1"/>
                <c:pt idx="0">
                  <c:v>16</c:v>
                </c:pt>
              </c:numCache>
            </c:numRef>
          </c:val>
        </c:ser>
        <c:ser>
          <c:idx val="2"/>
          <c:order val="2"/>
          <c:tx>
            <c:strRef>
              <c:f>вещества!$A$41</c:f>
              <c:strCache>
                <c:ptCount val="1"/>
                <c:pt idx="0">
                  <c:v>неорганизованная торговля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колиство прибретенного химического вещества</c:v>
              </c:pt>
            </c:strLit>
          </c:cat>
          <c:val>
            <c:numRef>
              <c:f>вещества!$B$41</c:f>
              <c:numCache>
                <c:formatCode>0.00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вещества!$A$42</c:f>
              <c:strCache>
                <c:ptCount val="1"/>
                <c:pt idx="0">
                  <c:v>производство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777777777777776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колиство прибретенного химического вещества</c:v>
              </c:pt>
            </c:strLit>
          </c:cat>
          <c:val>
            <c:numRef>
              <c:f>вещества!$B$42</c:f>
              <c:numCache>
                <c:formatCode>0.00</c:formatCode>
                <c:ptCount val="1"/>
                <c:pt idx="0">
                  <c:v>4</c:v>
                </c:pt>
              </c:numCache>
            </c:numRef>
          </c:val>
        </c:ser>
        <c:ser>
          <c:idx val="4"/>
          <c:order val="4"/>
          <c:tx>
            <c:strRef>
              <c:f>вещества!$A$43</c:f>
              <c:strCache>
                <c:ptCount val="1"/>
                <c:pt idx="0">
                  <c:v>неизвестно (другое)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Lit>
              <c:ptCount val="1"/>
              <c:pt idx="0">
                <c:v>колиство прибретенного химического вещества</c:v>
              </c:pt>
            </c:strLit>
          </c:cat>
          <c:val>
            <c:numRef>
              <c:f>вещества!$B$43</c:f>
              <c:numCache>
                <c:formatCode>0.00</c:formatCode>
                <c:ptCount val="1"/>
                <c:pt idx="0">
                  <c:v>176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95968112"/>
        <c:axId val="595971248"/>
        <c:axId val="0"/>
      </c:bar3DChart>
      <c:catAx>
        <c:axId val="595968112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extTo"/>
        <c:crossAx val="595971248"/>
        <c:crosses val="autoZero"/>
        <c:auto val="1"/>
        <c:lblAlgn val="ctr"/>
        <c:lblOffset val="100"/>
        <c:noMultiLvlLbl val="0"/>
      </c:catAx>
      <c:valAx>
        <c:axId val="595971248"/>
        <c:scaling>
          <c:orientation val="minMax"/>
        </c:scaling>
        <c:delete val="0"/>
        <c:axPos val="b"/>
        <c:majorGridlines/>
        <c:numFmt formatCode="0.00" sourceLinked="1"/>
        <c:majorTickMark val="out"/>
        <c:minorTickMark val="none"/>
        <c:tickLblPos val="nextTo"/>
        <c:crossAx val="595968112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1.6666666666666666E-2"/>
          <c:y val="9.9932560513269195E-2"/>
          <c:w val="0.28558202099737534"/>
          <c:h val="0.78624599008457274"/>
        </c:manualLayout>
      </c:layout>
      <c:overlay val="1"/>
      <c:txPr>
        <a:bodyPr/>
        <a:lstStyle/>
        <a:p>
          <a:pPr>
            <a:defRPr sz="1100" b="1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1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вещества!$A$45:$A$48</c:f>
              <c:strCache>
                <c:ptCount val="4"/>
                <c:pt idx="0">
                  <c:v>индивидуальное</c:v>
                </c:pt>
                <c:pt idx="1">
                  <c:v>семейное</c:v>
                </c:pt>
                <c:pt idx="2">
                  <c:v>групповое</c:v>
                </c:pt>
                <c:pt idx="3">
                  <c:v>массовое</c:v>
                </c:pt>
              </c:strCache>
            </c:strRef>
          </c:cat>
          <c:val>
            <c:numRef>
              <c:f>вещества!$B$45:$B$48</c:f>
              <c:numCache>
                <c:formatCode>0.0%</c:formatCode>
                <c:ptCount val="4"/>
                <c:pt idx="0">
                  <c:v>2.33</c:v>
                </c:pt>
                <c:pt idx="1">
                  <c:v>0.03</c:v>
                </c:pt>
                <c:pt idx="2">
                  <c:v>0.05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95968504"/>
        <c:axId val="595961840"/>
        <c:axId val="0"/>
      </c:bar3DChart>
      <c:catAx>
        <c:axId val="5959685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95961840"/>
        <c:crosses val="autoZero"/>
        <c:auto val="1"/>
        <c:lblAlgn val="ctr"/>
        <c:lblOffset val="100"/>
        <c:noMultiLvlLbl val="0"/>
      </c:catAx>
      <c:valAx>
        <c:axId val="595961840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numFmt formatCode="0.0%" sourceLinked="1"/>
        <c:majorTickMark val="out"/>
        <c:minorTickMark val="none"/>
        <c:tickLblPos val="nextTo"/>
        <c:crossAx val="595968504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plotVisOnly val="1"/>
    <c:dispBlanksAs val="gap"/>
    <c:showDLblsOverMax val="0"/>
  </c:chart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gradFill>
          <a:gsLst>
            <a:gs pos="13000">
              <a:srgbClr val="8488C4"/>
            </a:gs>
            <a:gs pos="53000">
              <a:srgbClr val="D4DEFF"/>
            </a:gs>
            <a:gs pos="66000">
              <a:srgbClr val="D4DEFF"/>
            </a:gs>
            <a:gs pos="100000">
              <a:srgbClr val="96AB94"/>
            </a:gs>
          </a:gsLst>
          <a:lin ang="5400000" scaled="0"/>
        </a:gradFill>
      </c:spPr>
    </c:sideWall>
    <c:backWall>
      <c:thickness val="0"/>
      <c:spPr>
        <a:gradFill>
          <a:gsLst>
            <a:gs pos="13000">
              <a:srgbClr val="8488C4"/>
            </a:gs>
            <a:gs pos="53000">
              <a:srgbClr val="D4DEFF"/>
            </a:gs>
            <a:gs pos="66000">
              <a:srgbClr val="D4DEFF"/>
            </a:gs>
            <a:gs pos="100000">
              <a:srgbClr val="96AB94"/>
            </a:gs>
          </a:gsLst>
          <a:lin ang="5400000" scaled="0"/>
        </a:gradFill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dLbl>
              <c:idx val="1"/>
              <c:layout>
                <c:manualLayout>
                  <c:x val="2.2222222222222223E-2"/>
                  <c:y val="7.08526436620243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вещества!$A$51:$A$54</c:f>
              <c:strCache>
                <c:ptCount val="4"/>
                <c:pt idx="0">
                  <c:v>до 14 лет</c:v>
                </c:pt>
                <c:pt idx="1">
                  <c:v>15-17 лет</c:v>
                </c:pt>
                <c:pt idx="2">
                  <c:v>18-60</c:v>
                </c:pt>
                <c:pt idx="3">
                  <c:v>60 и старше</c:v>
                </c:pt>
              </c:strCache>
            </c:strRef>
          </c:cat>
          <c:val>
            <c:numRef>
              <c:f>вещества!$B$51:$B$54</c:f>
              <c:numCache>
                <c:formatCode>0.0</c:formatCode>
                <c:ptCount val="4"/>
                <c:pt idx="0">
                  <c:v>0</c:v>
                </c:pt>
                <c:pt idx="1">
                  <c:v>1.8345930872532472</c:v>
                </c:pt>
                <c:pt idx="2">
                  <c:v>4.124121046701922</c:v>
                </c:pt>
                <c:pt idx="3">
                  <c:v>7.8589707695405941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pyramid"/>
        <c:axId val="595964584"/>
        <c:axId val="595964976"/>
        <c:axId val="0"/>
      </c:bar3DChart>
      <c:catAx>
        <c:axId val="5959645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 i="0" baseline="0"/>
            </a:pPr>
            <a:endParaRPr lang="ru-RU"/>
          </a:p>
        </c:txPr>
        <c:crossAx val="595964976"/>
        <c:crosses val="autoZero"/>
        <c:auto val="1"/>
        <c:lblAlgn val="ctr"/>
        <c:lblOffset val="100"/>
        <c:noMultiLvlLbl val="0"/>
      </c:catAx>
      <c:valAx>
        <c:axId val="595964976"/>
        <c:scaling>
          <c:orientation val="minMax"/>
        </c:scaling>
        <c:delete val="0"/>
        <c:axPos val="b"/>
        <c:majorGridlines/>
        <c:numFmt formatCode="0.0" sourceLinked="1"/>
        <c:majorTickMark val="out"/>
        <c:minorTickMark val="none"/>
        <c:tickLblPos val="nextTo"/>
        <c:crossAx val="595964584"/>
        <c:crosses val="autoZero"/>
        <c:crossBetween val="between"/>
      </c:valAx>
      <c:spPr>
        <a:blipFill>
          <a:blip xmlns:r="http://schemas.openxmlformats.org/officeDocument/2006/relationships" r:embed="rId2"/>
          <a:tile tx="0" ty="0" sx="100000" sy="100000" flip="none" algn="tl"/>
        </a:blipFill>
      </c:spPr>
    </c:plotArea>
    <c:plotVisOnly val="1"/>
    <c:dispBlanksAs val="gap"/>
    <c:showDLblsOverMax val="0"/>
  </c:chart>
  <c:externalData r:id="rId3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k122 Mukim</dc:creator>
  <cp:keywords/>
  <dc:description/>
  <cp:lastModifiedBy>ddt</cp:lastModifiedBy>
  <cp:revision>2</cp:revision>
  <cp:lastPrinted>2019-07-16T07:28:00Z</cp:lastPrinted>
  <dcterms:created xsi:type="dcterms:W3CDTF">2019-08-20T06:17:00Z</dcterms:created>
  <dcterms:modified xsi:type="dcterms:W3CDTF">2019-08-20T06:17:00Z</dcterms:modified>
</cp:coreProperties>
</file>